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связей с общественностью и рекламы</w:t>
            </w:r>
          </w:p>
          <w:p>
            <w:pPr>
              <w:jc w:val="center"/>
              <w:spacing w:after="0" w:line="240" w:lineRule="auto"/>
              <w:rPr>
                <w:sz w:val="32"/>
                <w:szCs w:val="32"/>
              </w:rPr>
            </w:pPr>
            <w:r>
              <w:rPr>
                <w:rFonts w:ascii="Times New Roman" w:hAnsi="Times New Roman" w:cs="Times New Roman"/>
                <w:color w:val="#000000"/>
                <w:sz w:val="32"/>
                <w:szCs w:val="32"/>
              </w:rPr>
              <w:t> Б1.О.06.07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связей с общественностью и рекламы»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Б1.О.06.07 «Правовое регулирование связей с общественностью и рекламы».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связей с общественностью и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принципы и нормы профессиональной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trPr>
          <w:trHeight w:hRule="exact" w:val="416.7449"/>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Б1.О.06.07 «Правовое регулирование связей с общественностью и рекламы»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9739.92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Историко-филологический модуль</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общепрофессиональной подготовки</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Информационно-технологический модуль</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самообразования студента</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Историко-филологический модуль</w:t>
            </w:r>
          </w:p>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деятельность в сфере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общепрофессиональной подготовки</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Брендинг</w:t>
            </w:r>
          </w:p>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p>
            <w:pPr>
              <w:jc w:val="center"/>
              <w:spacing w:after="0" w:line="240" w:lineRule="auto"/>
              <w:rPr>
                <w:sz w:val="22"/>
                <w:szCs w:val="22"/>
              </w:rPr>
            </w:pPr>
            <w:r>
              <w:rPr>
                <w:rFonts w:ascii="Times New Roman" w:hAnsi="Times New Roman" w:cs="Times New Roman"/>
                <w:color w:val="#000000"/>
                <w:sz w:val="22"/>
                <w:szCs w:val="22"/>
              </w:rPr>
              <w:t> Модуль, формирующий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p>
            <w:pPr>
              <w:jc w:val="center"/>
              <w:spacing w:after="0" w:line="240" w:lineRule="auto"/>
              <w:rPr>
                <w:sz w:val="22"/>
                <w:szCs w:val="22"/>
              </w:rPr>
            </w:pPr>
            <w:r>
              <w:rPr>
                <w:rFonts w:ascii="Times New Roman" w:hAnsi="Times New Roman" w:cs="Times New Roman"/>
                <w:color w:val="#000000"/>
                <w:sz w:val="22"/>
                <w:szCs w:val="22"/>
              </w:rPr>
              <w:t> Современные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p>
            <w:pPr>
              <w:jc w:val="center"/>
              <w:spacing w:after="0" w:line="240" w:lineRule="auto"/>
              <w:rPr>
                <w:sz w:val="22"/>
                <w:szCs w:val="22"/>
              </w:rPr>
            </w:pPr>
            <w:r>
              <w:rPr>
                <w:rFonts w:ascii="Times New Roman" w:hAnsi="Times New Roman" w:cs="Times New Roman"/>
                <w:color w:val="#000000"/>
                <w:sz w:val="22"/>
                <w:szCs w:val="22"/>
              </w:rPr>
              <w:t> Этическое регулирование связей с общественностью и рекламы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Правовое регулирование PR-деятельности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правового регулирования отношений в области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регулирования информационных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правового регулирования отношений в области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регулирования информационных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73.3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Направления правового регулирования отношений в области массовой информации</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 общество. Место информационной деятельности в общественном устройстве. Правовые и этические критерии деятельности специалиста по связям с общественностью.</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деятельности органов государственной власти средствами массовой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поддержка средств массовой информации в России. Государственные льготы для СМИ: виды, нормы предоставления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Освещение деятельности органов государственной власти средствами массовой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Открытость информации органов государственной власти и</w:t>
            </w:r>
          </w:p>
          <w:p>
            <w:pPr>
              <w:jc w:val="both"/>
              <w:spacing w:after="0" w:line="240" w:lineRule="auto"/>
              <w:rPr>
                <w:sz w:val="24"/>
                <w:szCs w:val="24"/>
              </w:rPr>
            </w:pPr>
            <w:r>
              <w:rPr>
                <w:rFonts w:ascii="Times New Roman" w:hAnsi="Times New Roman" w:cs="Times New Roman"/>
                <w:color w:val="#000000"/>
                <w:sz w:val="24"/>
                <w:szCs w:val="24"/>
              </w:rPr>
              <w:t> местного самоуправления. Сообщения, обязательно включаемые в информационные программы государственными федеральными аудиовизуальными средствами массовой информации, в день, когда состоялось соответствующее событие.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регулирования информационных отношений</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информационных отношений и их правовой статус. Основные направления правового регулирования отношений в области массовой информации. Внутренние и внешние информационные правоотношения. Организация деятельности средства массовой информации.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связей с общественностью и рекламы»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https://www.biblio-online.ru/bcode/425876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Интеллектуальная</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административная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Тиллинг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Моцный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Лощилин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Шаблинский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Шаблинского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Тиллинг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Интеллектуальная</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административная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978-5-9614-1191-1.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http://www.iprbookshop.ru/82862.html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PR-Интернет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Молибог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http://www.iprbookshop.ru/86412.html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79.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2024-2025_ФГОС3++2024_Бак-ЗФО-РСО(24)_plx_Правовое регулирование связей с общественностью и рекламы</dc:title>
  <dc:creator>FastReport.NET</dc:creator>
</cp:coreProperties>
</file>